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B277" w14:textId="77777777" w:rsidR="00E14E15" w:rsidRDefault="00E14E15" w:rsidP="00E14E15">
      <w:pPr>
        <w:pStyle w:val="Ttulo1"/>
        <w:jc w:val="left"/>
      </w:pPr>
      <w:bookmarkStart w:id="0" w:name="_Toc220571930"/>
      <w:r>
        <w:t>7 . Direccionamiento y aportes a la planificación y ejecución del nuevo almacén</w:t>
      </w:r>
      <w:bookmarkEnd w:id="0"/>
      <w:r>
        <w:t xml:space="preserve"> </w:t>
      </w:r>
    </w:p>
    <w:p w14:paraId="3511B047" w14:textId="28159B41" w:rsidR="00AD7B14"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 xml:space="preserve">Como parte de las propuestas y aportes a </w:t>
      </w:r>
      <w:proofErr w:type="spellStart"/>
      <w:r w:rsidRPr="00E14E15">
        <w:rPr>
          <w:rFonts w:ascii="Times New Roman" w:eastAsia="Calibri" w:hAnsi="Times New Roman" w:cs="Times New Roman"/>
          <w:color w:val="000000"/>
          <w:sz w:val="24"/>
          <w:lang w:val="es-CO"/>
        </w:rPr>
        <w:t>Metalteco</w:t>
      </w:r>
      <w:proofErr w:type="spellEnd"/>
      <w:r w:rsidRPr="00E14E15">
        <w:rPr>
          <w:rFonts w:ascii="Times New Roman" w:eastAsia="Calibri" w:hAnsi="Times New Roman" w:cs="Times New Roman"/>
          <w:color w:val="000000"/>
          <w:sz w:val="24"/>
          <w:lang w:val="es-CO"/>
        </w:rPr>
        <w:t>, se incluye el apoyo en la planificación y ejecución del nuevo almacén, donde se integrarán los dos almacenes existentes con el fin de mejorar la gestión y control de inventario. Por tanto, durante el desarrollo de las actividades, se realización las los siguientes propuestas y aportes al proceso:</w:t>
      </w:r>
    </w:p>
    <w:p w14:paraId="1D2885E5"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b/>
          <w:bCs/>
          <w:color w:val="000000"/>
          <w:sz w:val="24"/>
          <w:lang w:val="es-CO"/>
        </w:rPr>
        <w:t>Distribución zonas de almacenamiento:</w:t>
      </w:r>
      <w:r w:rsidRPr="00E14E15">
        <w:rPr>
          <w:rFonts w:ascii="Times New Roman" w:eastAsia="Calibri" w:hAnsi="Times New Roman" w:cs="Times New Roman"/>
          <w:color w:val="000000"/>
          <w:sz w:val="24"/>
          <w:lang w:val="es-CO"/>
        </w:rPr>
        <w:t xml:space="preserve"> En conjunto con el líder del almacén, se definieron los criterios principales para la distribución de las zonas de almacenamiento, considerando como variables la agrupación por cuentas contables y grupos de inventario y el nivel de rotación de las referencias. Bajo estos criterios, las cuentas contables con más alta rotación, se van a ubicar cerca de la zona de salida de mercancía, mejorando los recorridos y flujos operativos. </w:t>
      </w:r>
    </w:p>
    <w:p w14:paraId="36A56AF3"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 xml:space="preserve">Se decidió que el nuevo almacén estará dividido por zonas de almacenamiento, las cuales contarán únicamente con estantes o estibas según corresponda. En cada zona se ubicarán las referencias según los criterios establecidos. </w:t>
      </w:r>
    </w:p>
    <w:p w14:paraId="0304AE12"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Finalmente, se llevará a cabo el cambio de algunos estantes deteriorados, por unos nuevos, modernos y con posibilidad de ampliación vertical, acompañados de la estandarización de los recipientes de almacenamiento.</w:t>
      </w:r>
    </w:p>
    <w:p w14:paraId="65968815"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b/>
          <w:bCs/>
          <w:color w:val="000000"/>
          <w:sz w:val="24"/>
          <w:lang w:val="es-CO"/>
        </w:rPr>
        <w:t xml:space="preserve">Alistamiento de pedidos: </w:t>
      </w:r>
      <w:r w:rsidRPr="00E14E15">
        <w:rPr>
          <w:rFonts w:ascii="Times New Roman" w:eastAsia="Calibri" w:hAnsi="Times New Roman" w:cs="Times New Roman"/>
          <w:color w:val="000000"/>
          <w:sz w:val="24"/>
          <w:lang w:val="es-CO"/>
        </w:rPr>
        <w:t xml:space="preserve">Durante el diagnostico se evidenció que la persona encargada del alistamiento de despachos no dispone de un espacio definido para dicha labor. Por tal motivo, en el diseño del nuevo almacén, se recomendó al líder del área la </w:t>
      </w:r>
      <w:r w:rsidRPr="00E14E15">
        <w:rPr>
          <w:rFonts w:ascii="Times New Roman" w:eastAsia="Calibri" w:hAnsi="Times New Roman" w:cs="Times New Roman"/>
          <w:color w:val="000000"/>
          <w:sz w:val="24"/>
          <w:lang w:val="es-CO"/>
        </w:rPr>
        <w:lastRenderedPageBreak/>
        <w:t xml:space="preserve">implementación de una zona exclusiva para el alistamiento de pedidos, ubicada estratégicamente cerca a la salida de mercancía. </w:t>
      </w:r>
    </w:p>
    <w:p w14:paraId="59748A0A" w14:textId="13965C8E"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Esta zona deberá contar con una mesa de trabajo, estibas y todos los insumos necesarios al alcance. En la figura 13 se observa el diseño de la zona de despachos destinada al alistamiento de pedidos en el nuevo almacén</w:t>
      </w:r>
      <w:r>
        <w:rPr>
          <w:rFonts w:ascii="Times New Roman" w:eastAsia="Calibri" w:hAnsi="Times New Roman" w:cs="Times New Roman"/>
          <w:color w:val="000000"/>
          <w:sz w:val="24"/>
          <w:lang w:val="es-CO"/>
        </w:rPr>
        <w:t>.</w:t>
      </w:r>
    </w:p>
    <w:p w14:paraId="66E07E3E" w14:textId="77777777" w:rsidR="00E14E15" w:rsidRPr="00E14E15" w:rsidRDefault="00E14E15" w:rsidP="00E14E15">
      <w:pPr>
        <w:spacing w:line="480" w:lineRule="auto"/>
        <w:rPr>
          <w:rFonts w:ascii="Times New Roman" w:eastAsia="Calibri" w:hAnsi="Times New Roman" w:cs="Times New Roman"/>
          <w:color w:val="000000"/>
          <w:sz w:val="24"/>
          <w:lang w:val="es-CO"/>
        </w:rPr>
      </w:pPr>
      <w:bookmarkStart w:id="1" w:name="_Toc219187953"/>
      <w:r w:rsidRPr="00E14E15">
        <w:rPr>
          <w:rFonts w:ascii="Times New Roman" w:eastAsia="Calibri" w:hAnsi="Times New Roman" w:cs="Times New Roman"/>
          <w:b/>
          <w:bCs/>
          <w:color w:val="000000"/>
          <w:sz w:val="24"/>
          <w:lang w:val="es-CO"/>
        </w:rPr>
        <w:t xml:space="preserve">Figura </w:t>
      </w:r>
      <w:r w:rsidRPr="00E14E15">
        <w:rPr>
          <w:rFonts w:ascii="Times New Roman" w:eastAsia="Calibri" w:hAnsi="Times New Roman" w:cs="Times New Roman"/>
          <w:b/>
          <w:bCs/>
          <w:color w:val="000000"/>
          <w:sz w:val="24"/>
          <w:lang w:val="es-CO"/>
        </w:rPr>
        <w:fldChar w:fldCharType="begin"/>
      </w:r>
      <w:r w:rsidRPr="00E14E15">
        <w:rPr>
          <w:rFonts w:ascii="Times New Roman" w:eastAsia="Calibri" w:hAnsi="Times New Roman" w:cs="Times New Roman"/>
          <w:b/>
          <w:bCs/>
          <w:color w:val="000000"/>
          <w:sz w:val="24"/>
          <w:lang w:val="es-CO"/>
        </w:rPr>
        <w:instrText xml:space="preserve"> SEQ Figura \* ARABIC </w:instrText>
      </w:r>
      <w:r w:rsidRPr="00E14E15">
        <w:rPr>
          <w:rFonts w:ascii="Times New Roman" w:eastAsia="Calibri" w:hAnsi="Times New Roman" w:cs="Times New Roman"/>
          <w:b/>
          <w:bCs/>
          <w:color w:val="000000"/>
          <w:sz w:val="24"/>
          <w:lang w:val="es-CO"/>
        </w:rPr>
        <w:fldChar w:fldCharType="separate"/>
      </w:r>
      <w:r w:rsidRPr="00E14E15">
        <w:rPr>
          <w:rFonts w:ascii="Times New Roman" w:eastAsia="Calibri" w:hAnsi="Times New Roman" w:cs="Times New Roman"/>
          <w:b/>
          <w:bCs/>
          <w:noProof/>
          <w:color w:val="000000"/>
          <w:sz w:val="24"/>
          <w:lang w:val="es-CO"/>
        </w:rPr>
        <w:t>14</w:t>
      </w:r>
      <w:r w:rsidRPr="00E14E15">
        <w:rPr>
          <w:rFonts w:ascii="Times New Roman" w:eastAsia="Calibri" w:hAnsi="Times New Roman" w:cs="Times New Roman"/>
          <w:b/>
          <w:bCs/>
          <w:color w:val="000000"/>
          <w:sz w:val="24"/>
          <w:lang w:val="es-CO"/>
        </w:rPr>
        <w:fldChar w:fldCharType="end"/>
      </w:r>
      <w:r w:rsidRPr="00E14E15">
        <w:rPr>
          <w:rFonts w:ascii="Times New Roman" w:eastAsia="Calibri" w:hAnsi="Times New Roman" w:cs="Times New Roman"/>
          <w:color w:val="000000"/>
          <w:sz w:val="24"/>
          <w:lang w:val="es-CO"/>
        </w:rPr>
        <w:t xml:space="preserve"> </w:t>
      </w:r>
      <w:r w:rsidRPr="00E14E15">
        <w:rPr>
          <w:rFonts w:ascii="Times New Roman" w:eastAsia="Calibri" w:hAnsi="Times New Roman" w:cs="Times New Roman"/>
          <w:color w:val="000000"/>
          <w:sz w:val="24"/>
          <w:lang w:val="es-CO"/>
        </w:rPr>
        <w:br/>
      </w:r>
      <w:r w:rsidRPr="00E14E15">
        <w:rPr>
          <w:rFonts w:ascii="Times New Roman" w:eastAsia="Calibri" w:hAnsi="Times New Roman" w:cs="Times New Roman"/>
          <w:i/>
          <w:iCs/>
          <w:color w:val="000000"/>
          <w:sz w:val="24"/>
          <w:lang w:val="es-CO"/>
        </w:rPr>
        <w:t>Diseño nueva zona de alistamiento de despachos</w:t>
      </w:r>
      <w:bookmarkEnd w:id="1"/>
      <w:r w:rsidRPr="00E14E15">
        <w:rPr>
          <w:rFonts w:ascii="Times New Roman" w:eastAsia="Calibri" w:hAnsi="Times New Roman" w:cs="Times New Roman"/>
          <w:i/>
          <w:iCs/>
          <w:color w:val="000000"/>
          <w:sz w:val="24"/>
          <w:lang w:val="es-CO"/>
        </w:rPr>
        <w:t xml:space="preserve"> (m)</w:t>
      </w:r>
    </w:p>
    <w:p w14:paraId="4D57FDD8" w14:textId="77777777" w:rsidR="00E14E15" w:rsidRPr="00E14E15" w:rsidRDefault="00E14E15" w:rsidP="00E14E15">
      <w:pPr>
        <w:spacing w:before="100" w:beforeAutospacing="1" w:after="100" w:afterAutospacing="1" w:line="240" w:lineRule="auto"/>
        <w:jc w:val="center"/>
        <w:rPr>
          <w:rFonts w:ascii="Times New Roman" w:eastAsia="Times New Roman" w:hAnsi="Times New Roman" w:cs="Times New Roman"/>
          <w:kern w:val="0"/>
          <w:sz w:val="24"/>
          <w:szCs w:val="24"/>
          <w:lang w:val="es-CO" w:eastAsia="es-CO"/>
          <w14:ligatures w14:val="none"/>
        </w:rPr>
      </w:pPr>
      <w:r w:rsidRPr="00E14E15">
        <w:rPr>
          <w:rFonts w:ascii="Times New Roman" w:eastAsia="Times New Roman" w:hAnsi="Times New Roman" w:cs="Times New Roman"/>
          <w:noProof/>
          <w:kern w:val="0"/>
          <w:sz w:val="24"/>
          <w:szCs w:val="24"/>
          <w:lang w:val="es-CO" w:eastAsia="es-CO"/>
          <w14:ligatures w14:val="none"/>
        </w:rPr>
        <w:drawing>
          <wp:inline distT="0" distB="0" distL="0" distR="0" wp14:anchorId="7ED367C7" wp14:editId="0F4137A7">
            <wp:extent cx="3305175" cy="2222445"/>
            <wp:effectExtent l="0" t="0" r="0" b="6985"/>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24208" cy="2235243"/>
                    </a:xfrm>
                    <a:prstGeom prst="rect">
                      <a:avLst/>
                    </a:prstGeom>
                    <a:noFill/>
                    <a:ln>
                      <a:noFill/>
                    </a:ln>
                  </pic:spPr>
                </pic:pic>
              </a:graphicData>
            </a:graphic>
          </wp:inline>
        </w:drawing>
      </w:r>
    </w:p>
    <w:p w14:paraId="43B221D5"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b/>
          <w:bCs/>
          <w:color w:val="000000"/>
          <w:sz w:val="24"/>
          <w:lang w:val="es-CO"/>
        </w:rPr>
        <w:t xml:space="preserve">Señalización y demarcación: </w:t>
      </w:r>
      <w:r w:rsidRPr="00E14E15">
        <w:rPr>
          <w:rFonts w:ascii="Times New Roman" w:eastAsia="Calibri" w:hAnsi="Times New Roman" w:cs="Times New Roman"/>
          <w:color w:val="000000"/>
          <w:sz w:val="24"/>
          <w:lang w:val="es-CO"/>
        </w:rPr>
        <w:t>Dentro de la planificación del nuevo almacén, fue necesario considerar los aspectos relacionados con la seguridad y salud en el área de trabajo. Por tanto, siguiendo la norma NTP 434 y las recomendaciones de la aseguradora, se realizaron las recomendaciones correspondientes respecto a la demarcación interna del almacén, incluyendo el color, el tamaño y la distancia entre pasillos. Asimismo, se tuvieron en cuenta las dimensiones del montacargas, la división entre zonas, las áreas de circulación peatonal, vehiculas y mixta, con el fin de garantizar la seguridad y organización en el almacén. Finalmente, se tuvieron en cuenta aspectos relevantes identificados en el diagnóstico de las zonas de entrada y salida de mercancía.</w:t>
      </w:r>
    </w:p>
    <w:p w14:paraId="23C8C478"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b/>
          <w:bCs/>
          <w:color w:val="000000"/>
          <w:sz w:val="24"/>
          <w:lang w:val="es-CO"/>
        </w:rPr>
        <w:lastRenderedPageBreak/>
        <w:t>Nomenclatura de ubicación:</w:t>
      </w:r>
      <w:r w:rsidRPr="00E14E15">
        <w:rPr>
          <w:rFonts w:ascii="Times New Roman" w:eastAsia="Calibri" w:hAnsi="Times New Roman" w:cs="Times New Roman"/>
          <w:color w:val="000000"/>
          <w:sz w:val="24"/>
          <w:lang w:val="es-CO"/>
        </w:rPr>
        <w:t xml:space="preserve"> Con el fin de mejorar los procesos en el nuevo almacén, se propone la implementación de nomenclatura de ubicación estandarizada. Esta propuesta busca que cada referencia cuente con una ubicación única, clara y visible, lo que permita disminuir tiempos de localización, mejorar la organización y evitar errores en los procesos.  </w:t>
      </w:r>
    </w:p>
    <w:p w14:paraId="6825EC22"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La nomenclatura se construye teniendo en cuenta el número del estante, el nivel, la zona y la cara. De esta manera, se garantiza un sistema ordenado, lógico y fácil de comprender para los operarios.</w:t>
      </w:r>
    </w:p>
    <w:p w14:paraId="11E0CB91"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rPr>
      </w:pPr>
      <w:r w:rsidRPr="00E14E15">
        <w:rPr>
          <w:rFonts w:ascii="Times New Roman" w:eastAsia="Calibri" w:hAnsi="Times New Roman" w:cs="Times New Roman"/>
          <w:color w:val="000000"/>
          <w:sz w:val="24"/>
          <w:lang w:val="es-CO"/>
        </w:rPr>
        <w:t>Finalmente, para mantener la coherencia, todo el catálogo del inventario estará actualizado con este nuevo sistema de nomenclatura, contribuyendo a la confiabilidad y funcionalidad del inventario.</w:t>
      </w:r>
    </w:p>
    <w:p w14:paraId="77EE2CC6" w14:textId="77777777" w:rsidR="00E14E15" w:rsidRPr="00E14E15" w:rsidRDefault="00E14E15" w:rsidP="00E14E15">
      <w:pPr>
        <w:spacing w:line="480" w:lineRule="auto"/>
        <w:rPr>
          <w:rFonts w:ascii="Times New Roman" w:eastAsia="Calibri" w:hAnsi="Times New Roman" w:cs="Times New Roman"/>
          <w:color w:val="000000"/>
          <w:sz w:val="24"/>
          <w:lang w:val="es-CO"/>
        </w:rPr>
      </w:pPr>
      <w:bookmarkStart w:id="2" w:name="_Toc219187954"/>
      <w:r w:rsidRPr="00E14E15">
        <w:rPr>
          <w:rFonts w:ascii="Times New Roman" w:eastAsia="Calibri" w:hAnsi="Times New Roman" w:cs="Times New Roman"/>
          <w:b/>
          <w:bCs/>
          <w:color w:val="000000"/>
          <w:sz w:val="24"/>
          <w:lang w:val="es-CO"/>
        </w:rPr>
        <w:t xml:space="preserve">Figura </w:t>
      </w:r>
      <w:r w:rsidRPr="00E14E15">
        <w:rPr>
          <w:rFonts w:ascii="Times New Roman" w:eastAsia="Calibri" w:hAnsi="Times New Roman" w:cs="Times New Roman"/>
          <w:b/>
          <w:bCs/>
          <w:color w:val="000000"/>
          <w:sz w:val="24"/>
          <w:lang w:val="es-CO"/>
        </w:rPr>
        <w:fldChar w:fldCharType="begin"/>
      </w:r>
      <w:r w:rsidRPr="00E14E15">
        <w:rPr>
          <w:rFonts w:ascii="Times New Roman" w:eastAsia="Calibri" w:hAnsi="Times New Roman" w:cs="Times New Roman"/>
          <w:b/>
          <w:bCs/>
          <w:color w:val="000000"/>
          <w:sz w:val="24"/>
          <w:lang w:val="es-CO"/>
        </w:rPr>
        <w:instrText xml:space="preserve"> SEQ Figura \* ARABIC </w:instrText>
      </w:r>
      <w:r w:rsidRPr="00E14E15">
        <w:rPr>
          <w:rFonts w:ascii="Times New Roman" w:eastAsia="Calibri" w:hAnsi="Times New Roman" w:cs="Times New Roman"/>
          <w:b/>
          <w:bCs/>
          <w:color w:val="000000"/>
          <w:sz w:val="24"/>
          <w:lang w:val="es-CO"/>
        </w:rPr>
        <w:fldChar w:fldCharType="separate"/>
      </w:r>
      <w:r w:rsidRPr="00E14E15">
        <w:rPr>
          <w:rFonts w:ascii="Times New Roman" w:eastAsia="Calibri" w:hAnsi="Times New Roman" w:cs="Times New Roman"/>
          <w:b/>
          <w:bCs/>
          <w:noProof/>
          <w:color w:val="000000"/>
          <w:sz w:val="24"/>
          <w:lang w:val="es-CO"/>
        </w:rPr>
        <w:t>15</w:t>
      </w:r>
      <w:r w:rsidRPr="00E14E15">
        <w:rPr>
          <w:rFonts w:ascii="Times New Roman" w:eastAsia="Calibri" w:hAnsi="Times New Roman" w:cs="Times New Roman"/>
          <w:b/>
          <w:bCs/>
          <w:color w:val="000000"/>
          <w:sz w:val="24"/>
          <w:lang w:val="es-CO"/>
        </w:rPr>
        <w:fldChar w:fldCharType="end"/>
      </w:r>
      <w:r w:rsidRPr="00E14E15">
        <w:rPr>
          <w:rFonts w:ascii="Times New Roman" w:eastAsia="Calibri" w:hAnsi="Times New Roman" w:cs="Times New Roman"/>
          <w:color w:val="000000"/>
          <w:sz w:val="24"/>
          <w:lang w:val="es-CO"/>
        </w:rPr>
        <w:t xml:space="preserve"> </w:t>
      </w:r>
      <w:r w:rsidRPr="00E14E15">
        <w:rPr>
          <w:rFonts w:ascii="Times New Roman" w:eastAsia="Calibri" w:hAnsi="Times New Roman" w:cs="Times New Roman"/>
          <w:color w:val="000000"/>
          <w:sz w:val="24"/>
          <w:lang w:val="es-CO"/>
        </w:rPr>
        <w:br/>
      </w:r>
      <w:r w:rsidRPr="00E14E15">
        <w:rPr>
          <w:rFonts w:ascii="Times New Roman" w:eastAsia="Calibri" w:hAnsi="Times New Roman" w:cs="Times New Roman"/>
          <w:i/>
          <w:iCs/>
          <w:color w:val="000000"/>
          <w:sz w:val="24"/>
          <w:lang w:val="es-CO"/>
        </w:rPr>
        <w:t>Propuesta de nomenclatura para la ubicación de referencias almacenadas en canastilla o libres.</w:t>
      </w:r>
      <w:bookmarkEnd w:id="2"/>
    </w:p>
    <w:p w14:paraId="0738A37E" w14:textId="77777777" w:rsidR="00E14E15" w:rsidRPr="00E14E15" w:rsidRDefault="00E14E15" w:rsidP="00E14E15">
      <w:pPr>
        <w:spacing w:before="100" w:beforeAutospacing="1" w:after="100" w:afterAutospacing="1" w:line="240" w:lineRule="auto"/>
        <w:jc w:val="center"/>
        <w:rPr>
          <w:rFonts w:ascii="Times New Roman" w:eastAsia="Times New Roman" w:hAnsi="Times New Roman" w:cs="Times New Roman"/>
          <w:kern w:val="0"/>
          <w:sz w:val="24"/>
          <w:szCs w:val="24"/>
          <w:lang w:val="es-CO" w:eastAsia="es-CO"/>
          <w14:ligatures w14:val="none"/>
        </w:rPr>
      </w:pPr>
      <w:r w:rsidRPr="00E14E15">
        <w:rPr>
          <w:rFonts w:ascii="Times New Roman" w:eastAsia="Times New Roman" w:hAnsi="Times New Roman" w:cs="Times New Roman"/>
          <w:noProof/>
          <w:kern w:val="0"/>
          <w:sz w:val="24"/>
          <w:szCs w:val="24"/>
          <w:lang w:val="es-CO" w:eastAsia="es-CO"/>
          <w14:ligatures w14:val="none"/>
        </w:rPr>
        <w:drawing>
          <wp:inline distT="0" distB="0" distL="0" distR="0" wp14:anchorId="5400CCF8" wp14:editId="3DC434FD">
            <wp:extent cx="2808988" cy="1571625"/>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7166" cy="1604175"/>
                    </a:xfrm>
                    <a:prstGeom prst="rect">
                      <a:avLst/>
                    </a:prstGeom>
                    <a:noFill/>
                    <a:ln>
                      <a:noFill/>
                    </a:ln>
                  </pic:spPr>
                </pic:pic>
              </a:graphicData>
            </a:graphic>
          </wp:inline>
        </w:drawing>
      </w:r>
    </w:p>
    <w:p w14:paraId="22E4BA1E" w14:textId="77777777" w:rsidR="00E14E15" w:rsidRPr="00E14E15" w:rsidRDefault="00E14E15" w:rsidP="00E14E15">
      <w:pPr>
        <w:spacing w:line="480" w:lineRule="auto"/>
        <w:rPr>
          <w:rFonts w:ascii="Times New Roman" w:eastAsia="Calibri" w:hAnsi="Times New Roman" w:cs="Times New Roman"/>
          <w:color w:val="000000"/>
          <w:sz w:val="24"/>
          <w:lang w:val="es-CO"/>
        </w:rPr>
      </w:pPr>
      <w:bookmarkStart w:id="3" w:name="_Toc219187955"/>
      <w:r w:rsidRPr="00E14E15">
        <w:rPr>
          <w:rFonts w:ascii="Times New Roman" w:eastAsia="Calibri" w:hAnsi="Times New Roman" w:cs="Times New Roman"/>
          <w:b/>
          <w:bCs/>
          <w:color w:val="000000"/>
          <w:sz w:val="24"/>
          <w:lang w:val="es-CO"/>
        </w:rPr>
        <w:t xml:space="preserve">Figura </w:t>
      </w:r>
      <w:r w:rsidRPr="00E14E15">
        <w:rPr>
          <w:rFonts w:ascii="Times New Roman" w:eastAsia="Calibri" w:hAnsi="Times New Roman" w:cs="Times New Roman"/>
          <w:b/>
          <w:bCs/>
          <w:color w:val="000000"/>
          <w:sz w:val="24"/>
          <w:lang w:val="es-CO"/>
        </w:rPr>
        <w:fldChar w:fldCharType="begin"/>
      </w:r>
      <w:r w:rsidRPr="00E14E15">
        <w:rPr>
          <w:rFonts w:ascii="Times New Roman" w:eastAsia="Calibri" w:hAnsi="Times New Roman" w:cs="Times New Roman"/>
          <w:b/>
          <w:bCs/>
          <w:color w:val="000000"/>
          <w:sz w:val="24"/>
          <w:lang w:val="es-CO"/>
        </w:rPr>
        <w:instrText xml:space="preserve"> SEQ Figura \* ARABIC </w:instrText>
      </w:r>
      <w:r w:rsidRPr="00E14E15">
        <w:rPr>
          <w:rFonts w:ascii="Times New Roman" w:eastAsia="Calibri" w:hAnsi="Times New Roman" w:cs="Times New Roman"/>
          <w:b/>
          <w:bCs/>
          <w:color w:val="000000"/>
          <w:sz w:val="24"/>
          <w:lang w:val="es-CO"/>
        </w:rPr>
        <w:fldChar w:fldCharType="separate"/>
      </w:r>
      <w:r w:rsidRPr="00E14E15">
        <w:rPr>
          <w:rFonts w:ascii="Times New Roman" w:eastAsia="Calibri" w:hAnsi="Times New Roman" w:cs="Times New Roman"/>
          <w:b/>
          <w:bCs/>
          <w:noProof/>
          <w:color w:val="000000"/>
          <w:sz w:val="24"/>
          <w:lang w:val="es-CO"/>
        </w:rPr>
        <w:t>16</w:t>
      </w:r>
      <w:r w:rsidRPr="00E14E15">
        <w:rPr>
          <w:rFonts w:ascii="Times New Roman" w:eastAsia="Calibri" w:hAnsi="Times New Roman" w:cs="Times New Roman"/>
          <w:b/>
          <w:bCs/>
          <w:color w:val="000000"/>
          <w:sz w:val="24"/>
          <w:lang w:val="es-CO"/>
        </w:rPr>
        <w:fldChar w:fldCharType="end"/>
      </w:r>
      <w:r w:rsidRPr="00E14E15">
        <w:rPr>
          <w:rFonts w:ascii="Times New Roman" w:eastAsia="Calibri" w:hAnsi="Times New Roman" w:cs="Times New Roman"/>
          <w:color w:val="000000"/>
          <w:sz w:val="24"/>
          <w:lang w:val="es-CO"/>
        </w:rPr>
        <w:t xml:space="preserve"> </w:t>
      </w:r>
      <w:r w:rsidRPr="00E14E15">
        <w:rPr>
          <w:rFonts w:ascii="Times New Roman" w:eastAsia="Calibri" w:hAnsi="Times New Roman" w:cs="Times New Roman"/>
          <w:color w:val="000000"/>
          <w:sz w:val="24"/>
          <w:lang w:val="es-CO"/>
        </w:rPr>
        <w:br/>
      </w:r>
      <w:r w:rsidRPr="00E14E15">
        <w:rPr>
          <w:rFonts w:ascii="Times New Roman" w:eastAsia="Calibri" w:hAnsi="Times New Roman" w:cs="Times New Roman"/>
          <w:i/>
          <w:iCs/>
          <w:color w:val="000000"/>
          <w:sz w:val="24"/>
          <w:lang w:val="es-CO"/>
        </w:rPr>
        <w:t>Propuesta de nomenclatura para la ubicación de referencias almacenadas en gaveta</w:t>
      </w:r>
      <w:bookmarkEnd w:id="3"/>
    </w:p>
    <w:p w14:paraId="3BC4E438" w14:textId="77777777" w:rsidR="00E14E15" w:rsidRPr="00E14E15" w:rsidRDefault="00E14E15" w:rsidP="00E14E15">
      <w:pPr>
        <w:spacing w:before="100" w:beforeAutospacing="1" w:after="100" w:afterAutospacing="1" w:line="240" w:lineRule="auto"/>
        <w:jc w:val="center"/>
        <w:rPr>
          <w:rFonts w:ascii="Times New Roman" w:eastAsia="Times New Roman" w:hAnsi="Times New Roman" w:cs="Times New Roman"/>
          <w:kern w:val="0"/>
          <w:sz w:val="24"/>
          <w:szCs w:val="24"/>
          <w:lang w:val="es-CO" w:eastAsia="es-CO"/>
          <w14:ligatures w14:val="none"/>
        </w:rPr>
      </w:pPr>
      <w:r w:rsidRPr="00E14E15">
        <w:rPr>
          <w:rFonts w:ascii="Times New Roman" w:eastAsia="Times New Roman" w:hAnsi="Times New Roman" w:cs="Times New Roman"/>
          <w:noProof/>
          <w:kern w:val="0"/>
          <w:sz w:val="24"/>
          <w:szCs w:val="24"/>
          <w:lang w:val="es-CO" w:eastAsia="es-CO"/>
          <w14:ligatures w14:val="none"/>
        </w:rPr>
        <w:lastRenderedPageBreak/>
        <w:drawing>
          <wp:inline distT="0" distB="0" distL="0" distR="0" wp14:anchorId="2B31A128" wp14:editId="2A004DCE">
            <wp:extent cx="3476078" cy="1590675"/>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93625" cy="1598705"/>
                    </a:xfrm>
                    <a:prstGeom prst="rect">
                      <a:avLst/>
                    </a:prstGeom>
                    <a:noFill/>
                    <a:ln>
                      <a:noFill/>
                    </a:ln>
                  </pic:spPr>
                </pic:pic>
              </a:graphicData>
            </a:graphic>
          </wp:inline>
        </w:drawing>
      </w:r>
    </w:p>
    <w:p w14:paraId="0B741196" w14:textId="77777777" w:rsidR="00E14E15" w:rsidRPr="00E14E15" w:rsidRDefault="00E14E15" w:rsidP="00E14E15">
      <w:pPr>
        <w:spacing w:line="480" w:lineRule="auto"/>
        <w:ind w:firstLine="720"/>
        <w:rPr>
          <w:rFonts w:ascii="Times New Roman" w:eastAsia="Calibri" w:hAnsi="Times New Roman" w:cs="Times New Roman"/>
          <w:color w:val="000000"/>
          <w:sz w:val="24"/>
          <w:lang w:val="es-CO" w:eastAsia="es-CO"/>
        </w:rPr>
      </w:pPr>
      <w:r w:rsidRPr="00E14E15">
        <w:rPr>
          <w:rFonts w:ascii="Times New Roman" w:eastAsia="Calibri" w:hAnsi="Times New Roman" w:cs="Times New Roman"/>
          <w:color w:val="000000"/>
          <w:sz w:val="24"/>
          <w:lang w:val="es-CO" w:eastAsia="es-CO"/>
        </w:rPr>
        <w:t>Por último, cabe resaltar que, con la implementación del nuevo almacén, se centralizará el inventario, optimizando los flujos internos y eliminando los tiempos de desplazamiento entre almacenes. Esto resultará en una reducción significativa del tiempo de ciclos, mejorando la eficiencia operativa en el alistamiento de los despachos y demás procesos.</w:t>
      </w:r>
    </w:p>
    <w:p w14:paraId="5FF1C6AE" w14:textId="77777777" w:rsidR="00E14E15" w:rsidRDefault="00E14E15" w:rsidP="00E14E15"/>
    <w:sectPr w:rsidR="00E14E1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15"/>
    <w:rsid w:val="00593437"/>
    <w:rsid w:val="00AD7B14"/>
    <w:rsid w:val="00CE01F8"/>
    <w:rsid w:val="00E14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CDAF6"/>
  <w15:chartTrackingRefBased/>
  <w15:docId w15:val="{07B67177-77D3-4599-BD07-8D73E606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US"/>
    </w:rPr>
  </w:style>
  <w:style w:type="paragraph" w:styleId="Ttulo1">
    <w:name w:val="heading 1"/>
    <w:basedOn w:val="Normal"/>
    <w:next w:val="Normal"/>
    <w:link w:val="Ttulo1Car"/>
    <w:uiPriority w:val="9"/>
    <w:qFormat/>
    <w:rsid w:val="00E14E15"/>
    <w:pPr>
      <w:keepNext/>
      <w:keepLines/>
      <w:spacing w:before="360" w:after="80" w:line="480" w:lineRule="auto"/>
      <w:jc w:val="center"/>
      <w:outlineLvl w:val="0"/>
    </w:pPr>
    <w:rPr>
      <w:rFonts w:ascii="Times New Roman" w:eastAsiaTheme="majorEastAsia" w:hAnsi="Times New Roman" w:cstheme="majorBidi"/>
      <w:b/>
      <w:color w:val="000000" w:themeColor="text1"/>
      <w:sz w:val="24"/>
      <w:szCs w:val="4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E14E15"/>
    <w:rPr>
      <w:rFonts w:ascii="Times New Roman" w:eastAsiaTheme="majorEastAsia" w:hAnsi="Times New Roman" w:cstheme="majorBidi"/>
      <w:b/>
      <w:color w:val="000000" w:themeColor="text1"/>
      <w:sz w:val="24"/>
      <w:szCs w:val="4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636</Words>
  <Characters>3504</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SANTANDER</dc:creator>
  <cp:keywords/>
  <dc:description/>
  <cp:lastModifiedBy>OSCAR SANTANDER</cp:lastModifiedBy>
  <cp:revision>1</cp:revision>
  <dcterms:created xsi:type="dcterms:W3CDTF">2026-01-29T17:02:00Z</dcterms:created>
  <dcterms:modified xsi:type="dcterms:W3CDTF">2026-01-29T17:04:00Z</dcterms:modified>
</cp:coreProperties>
</file>